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Kadastrālo vērtību bāze universālās kadastrālās vērtības aprēķinam</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Nekustamā īpašuma</w:t>
      </w:r>
      <w:r>
        <w:br/>
      </w:r>
      <w:r w:rsidR="00000000" w:rsidRPr="00000000" w:rsidDel="00000000">
        <w:rPr>
          <w:rStyle w:val="paragraph"/>
          <w:i w:val="1"/>
          <w:rtl w:val="0"/>
        </w:rPr>
        <w:t xml:space="preserve">valsts kadastra likuma pārejas noteikumu 43.</w:t>
      </w:r>
      <w:r w:rsidR="00000000" w:rsidRPr="00000000" w:rsidDel="00000000">
        <w:rPr>
          <w:rStyle w:val="paragraph"/>
          <w:i w:val="1"/>
          <w:vertAlign w:val="superscript"/>
          <w:rtl w:val="0"/>
        </w:rPr>
        <w:t xml:space="preserve">2</w:t>
      </w:r>
      <w:r w:rsidR="00000000" w:rsidRPr="00000000" w:rsidDel="00000000">
        <w:rPr>
          <w:rStyle w:val="paragraph"/>
          <w:i w:val="1"/>
          <w:vertAlign w:val="superscript"/>
          <w:rtl w:val="0"/>
        </w:rPr>
        <w:t xml:space="preserve"> </w:t>
      </w:r>
      <w:r w:rsidR="00000000" w:rsidRPr="00000000" w:rsidDel="00000000">
        <w:rPr>
          <w:rStyle w:val="paragraph"/>
          <w:i w:val="1"/>
          <w:rtl w:val="0"/>
        </w:rPr>
        <w:t xml:space="preserve">punktu</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Noteikumi apstiprina kadastrālo vērtību bāzi universālās kadastrālās vērtības aprēķinam.</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Kadastrālo vērtību bāzi veido:</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lauksaimniecībā izmantojamās zemes bāzes vērtības lauku apvidos (</w:t>
      </w:r>
      <w:r w:rsidR="00000000" w:rsidRPr="00000000" w:rsidDel="00000000">
        <w:rPr>
          <w:i w:val="1"/>
          <w:rtl w:val="0"/>
        </w:rPr>
        <w:t xml:space="preserve">euro</w:t>
      </w:r>
      <w:r w:rsidR="00000000" w:rsidRPr="00000000" w:rsidDel="00000000">
        <w:rPr>
          <w:rtl w:val="0"/>
        </w:rPr>
        <w:t xml:space="preserve">/ha) (</w:t>
      </w:r>
      <w:r w:rsidR="00000000" w:rsidRPr="00000000" w:rsidDel="00000000">
        <w:rPr>
          <w:rtl w:val="0"/>
        </w:rPr>
        <w:t xml:space="preserve">1.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meža zemes bāzes vērtības lauku apvidos (</w:t>
      </w:r>
      <w:r w:rsidR="00000000" w:rsidRPr="00000000" w:rsidDel="00000000">
        <w:rPr>
          <w:i w:val="1"/>
          <w:rtl w:val="0"/>
        </w:rPr>
        <w:t xml:space="preserve">euro</w:t>
      </w:r>
      <w:r w:rsidR="00000000" w:rsidRPr="00000000" w:rsidDel="00000000">
        <w:rPr>
          <w:rtl w:val="0"/>
        </w:rPr>
        <w:t xml:space="preserve">/ha) (</w:t>
      </w:r>
      <w:r w:rsidR="00000000" w:rsidRPr="00000000" w:rsidDel="00000000">
        <w:rPr>
          <w:rtl w:val="0"/>
        </w:rPr>
        <w:t xml:space="preserve">2.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zemes bāzes vērtības pilsētās nekustamā īpašuma lietošanas mērķiem (turpmāk – lietošanas mērķis) no mērķu grupas "Lauksaimniecības zeme", "Ūdens objektu zeme" un "Mežsaimniecības zeme un īpaši aizsargājamās dabas teritorijas, kurās saimnieciskā darbība ir aizliegta ar normatīvo aktu" (</w:t>
      </w:r>
      <w:r w:rsidR="00000000" w:rsidRPr="00000000" w:rsidDel="00000000">
        <w:rPr>
          <w:i w:val="1"/>
          <w:rtl w:val="0"/>
        </w:rPr>
        <w:t xml:space="preserve">euro</w:t>
      </w:r>
      <w:r w:rsidR="00000000" w:rsidRPr="00000000" w:rsidDel="00000000">
        <w:rPr>
          <w:rtl w:val="0"/>
        </w:rPr>
        <w:t xml:space="preserve">/m</w:t>
      </w:r>
      <w:r w:rsidR="00000000" w:rsidRPr="00000000" w:rsidDel="00000000">
        <w:rPr>
          <w:vertAlign w:val="superscript"/>
          <w:rtl w:val="0"/>
        </w:rPr>
        <w:t xml:space="preserve">2</w:t>
      </w:r>
      <w:r w:rsidR="00000000" w:rsidRPr="00000000" w:rsidDel="00000000">
        <w:rPr>
          <w:rtl w:val="0"/>
        </w:rPr>
        <w:t xml:space="preserve">) (</w:t>
      </w:r>
      <w:r w:rsidR="00000000" w:rsidRPr="00000000" w:rsidDel="00000000">
        <w:rPr>
          <w:rtl w:val="0"/>
        </w:rPr>
        <w:t xml:space="preserve">3.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apbūves zemes bāzes vērtības (</w:t>
      </w:r>
      <w:r w:rsidR="00000000" w:rsidRPr="00000000" w:rsidDel="00000000">
        <w:rPr>
          <w:i w:val="1"/>
          <w:rtl w:val="0"/>
        </w:rPr>
        <w:t xml:space="preserve">euro</w:t>
      </w:r>
      <w:r w:rsidR="00000000" w:rsidRPr="00000000" w:rsidDel="00000000">
        <w:rPr>
          <w:rtl w:val="0"/>
        </w:rPr>
        <w:t xml:space="preserve">/m</w:t>
      </w:r>
      <w:r w:rsidR="00000000" w:rsidRPr="00000000" w:rsidDel="00000000">
        <w:rPr>
          <w:vertAlign w:val="superscript"/>
          <w:rtl w:val="0"/>
        </w:rPr>
        <w:t xml:space="preserve">2</w:t>
      </w:r>
      <w:r w:rsidR="00000000" w:rsidRPr="00000000" w:rsidDel="00000000">
        <w:rPr>
          <w:rtl w:val="0"/>
        </w:rPr>
        <w:t xml:space="preserve">), zemes standartplatības (m</w:t>
      </w:r>
      <w:r w:rsidR="00000000" w:rsidRPr="00000000" w:rsidDel="00000000">
        <w:rPr>
          <w:vertAlign w:val="superscript"/>
          <w:rtl w:val="0"/>
        </w:rPr>
        <w:t xml:space="preserve">2</w:t>
      </w:r>
      <w:r w:rsidR="00000000" w:rsidRPr="00000000" w:rsidDel="00000000">
        <w:rPr>
          <w:rtl w:val="0"/>
        </w:rPr>
        <w:t xml:space="preserve">) un standartplatību korekcijas koeficienti lietošanas mērķiem no lietošanas mērķu grupas: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"Individuālo dzīvojamo māju apbūves zeme" un "Daudzdzīvokļu māju apbūves zeme" (</w:t>
      </w:r>
      <w:r w:rsidR="00000000" w:rsidRPr="00000000" w:rsidDel="00000000">
        <w:rPr>
          <w:rtl w:val="0"/>
        </w:rPr>
        <w:t xml:space="preserve">4.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"Komercdarbības objektu apbūves zeme", "Ražošanas objektu apbūves zeme" un "Derīgo izrakteņu ieguves teritorijas" (</w:t>
      </w:r>
      <w:r w:rsidR="00000000" w:rsidRPr="00000000" w:rsidDel="00000000">
        <w:rPr>
          <w:rtl w:val="0"/>
        </w:rPr>
        <w:t xml:space="preserve">5.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"Dabas pamatnes un rekreācijas nozīmes zeme" un "Sabiedriskās nozīmes objektu apbūves zeme" (</w:t>
      </w:r>
      <w:r w:rsidR="00000000" w:rsidRPr="00000000" w:rsidDel="00000000">
        <w:rPr>
          <w:rtl w:val="0"/>
        </w:rPr>
        <w:t xml:space="preserve">6.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"Satiksmes infrastruktūras objektu apbūves zeme" un "Inženiertehniskās apgādes tīklu un objektu apbūves zeme" (</w:t>
      </w:r>
      <w:r w:rsidR="00000000" w:rsidRPr="00000000" w:rsidDel="00000000">
        <w:rPr>
          <w:rtl w:val="0"/>
        </w:rPr>
        <w:t xml:space="preserve">7.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ēku bāzes vērtības, standartapjomi un apjoma korekcijas koeficienti ēku apakšgrupām no ēku grupas: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 "Savrupmājas" un "Daudzdzīvokļu un sociālās dzīvojamās mājas" (</w:t>
      </w:r>
      <w:r w:rsidR="00000000" w:rsidRPr="00000000" w:rsidDel="00000000">
        <w:rPr>
          <w:rtl w:val="0"/>
        </w:rPr>
        <w:t xml:space="preserve">8.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"Komercēkas un publiskās ēkas" (</w:t>
      </w:r>
      <w:r w:rsidR="00000000" w:rsidRPr="00000000" w:rsidDel="00000000">
        <w:rPr>
          <w:rtl w:val="0"/>
        </w:rPr>
        <w:t xml:space="preserve">9.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"Ražošanas, sakaru, garāžu un noliktavu ēkas" (</w:t>
      </w:r>
      <w:r w:rsidR="00000000" w:rsidRPr="00000000" w:rsidDel="00000000">
        <w:rPr>
          <w:rtl w:val="0"/>
        </w:rPr>
        <w:t xml:space="preserve">10.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"Lauksaimniecības ēkas" un "Palīgēkas" (</w:t>
      </w:r>
      <w:r w:rsidR="00000000" w:rsidRPr="00000000" w:rsidDel="00000000">
        <w:rPr>
          <w:rtl w:val="0"/>
        </w:rPr>
        <w:t xml:space="preserve">11.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inženierbūvju tipu bāzes vērtības (</w:t>
      </w:r>
      <w:r w:rsidR="00000000" w:rsidRPr="00000000" w:rsidDel="00000000">
        <w:rPr>
          <w:rtl w:val="0"/>
        </w:rPr>
        <w:t xml:space="preserve">12.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ēkas būvniecības perioda ietekmes korekcijas koeficienti:</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7.</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ēku grupai "Savrupmājas" (</w:t>
      </w:r>
      <w:r w:rsidR="00000000" w:rsidRPr="00000000" w:rsidDel="00000000">
        <w:rPr>
          <w:rtl w:val="0"/>
        </w:rPr>
        <w:t xml:space="preserve">13.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7.</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ēku apakšgrupai "Daudzdzīvokļu mājas", "Biroju ēkas" un "Tirdzniecības ēkas", ja tajās ir vismaz viena dzīvojamo telpu grupa (</w:t>
      </w:r>
      <w:r w:rsidR="00000000" w:rsidRPr="00000000" w:rsidDel="00000000">
        <w:rPr>
          <w:rtl w:val="0"/>
        </w:rPr>
        <w:t xml:space="preserve">14.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7.</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ēku grupai "Komercēkas un publiskās ēkas" un apakšgrupām "Ražošanas ēkas", "Noliktavas", "Lauksaimniecības noliktavas", "Kūtis un zvērkopības ēkas" (</w:t>
      </w:r>
      <w:r w:rsidR="00000000" w:rsidRPr="00000000" w:rsidDel="00000000">
        <w:rPr>
          <w:rtl w:val="0"/>
        </w:rPr>
        <w:t xml:space="preserve">15. </w:t>
      </w:r>
      <w:r w:rsidR="00000000" w:rsidRPr="00000000" w:rsidDel="00000000">
        <w:rPr>
          <w:rtl w:val="0"/>
        </w:rPr>
        <w:t xml:space="preserve">pielikums</w:t>
      </w:r>
      <w:r w:rsidR="00000000" w:rsidRPr="00000000" w:rsidDel="00000000">
        <w:rPr>
          <w:rtl w:val="0"/>
        </w:rPr>
        <w:t xml:space="preserve">).</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w:t>
      </w:r>
      <w:r w:rsidR="00000000" w:rsidRPr="00000000" w:rsidDel="00000000">
        <w:rPr>
          <w:rtl w:val="0"/>
        </w:rPr>
        <w:t xml:space="preserve"> un </w:t>
      </w:r>
      <w:r w:rsidR="00000000" w:rsidRPr="00000000" w:rsidDel="00000000">
        <w:rPr>
          <w:rtl w:val="0"/>
        </w:rPr>
        <w:t xml:space="preserve">3. </w:t>
      </w:r>
      <w:r w:rsidR="00000000" w:rsidRPr="00000000" w:rsidDel="00000000">
        <w:rPr>
          <w:rtl w:val="0"/>
        </w:rPr>
        <w:t xml:space="preserve">pielikumā</w:t>
      </w:r>
      <w:r w:rsidR="00000000" w:rsidRPr="00000000" w:rsidDel="00000000">
        <w:rPr>
          <w:rtl w:val="0"/>
        </w:rPr>
        <w:t xml:space="preserve"> minēto vērtību zonu robežas atbilst lauksaimniecībā izmantojamās zemes vērtību zonējumam.</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2.</w:t>
      </w:r>
      <w:r w:rsidR="00000000" w:rsidRPr="00000000" w:rsidDel="00000000">
        <w:rPr>
          <w:rtl w:val="0"/>
        </w:rPr>
        <w:t xml:space="preserve"> un </w:t>
      </w:r>
      <w:r w:rsidR="00000000" w:rsidRPr="00000000" w:rsidDel="00000000">
        <w:rPr>
          <w:rtl w:val="0"/>
        </w:rPr>
        <w:t xml:space="preserve">3. </w:t>
      </w:r>
      <w:r w:rsidR="00000000" w:rsidRPr="00000000" w:rsidDel="00000000">
        <w:rPr>
          <w:rtl w:val="0"/>
        </w:rPr>
        <w:t xml:space="preserve">pielikumā</w:t>
      </w:r>
      <w:r w:rsidR="00000000" w:rsidRPr="00000000" w:rsidDel="00000000">
        <w:rPr>
          <w:rtl w:val="0"/>
        </w:rPr>
        <w:t xml:space="preserve"> minēto vērtību zonu robežas atbilst meža zemes vērtību zonējumam.</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14.</w:t>
      </w:r>
      <w:r w:rsidR="00000000" w:rsidRPr="00000000" w:rsidDel="00000000">
        <w:rPr>
          <w:rtl w:val="0"/>
        </w:rPr>
        <w:t xml:space="preserve"> un </w:t>
      </w:r>
      <w:r w:rsidR="00000000" w:rsidRPr="00000000" w:rsidDel="00000000">
        <w:rPr>
          <w:rtl w:val="0"/>
        </w:rPr>
        <w:t xml:space="preserve">15. </w:t>
      </w:r>
      <w:r w:rsidR="00000000" w:rsidRPr="00000000" w:rsidDel="00000000">
        <w:rPr>
          <w:rtl w:val="0"/>
        </w:rPr>
        <w:t xml:space="preserve">pielikumā</w:t>
      </w:r>
      <w:r w:rsidR="00000000" w:rsidRPr="00000000" w:rsidDel="00000000">
        <w:rPr>
          <w:rtl w:val="0"/>
        </w:rPr>
        <w:t xml:space="preserve"> minēto vērtību zonu robežas atbilst apbūves vērtību zonējumam.</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Vērtību zonējumi universālās kadastrālās vērtības aprēķinam publicēti Valsts zemes dienesta datu publicēšanas portālā (www.kadastrs.lv). Kadastrālo vērtību bāze un vērtību zonējumi elektronisku dokumentu veidā tiek glabāti Valsts zemes dienesta arhīvā un Valsts kancelejas arhīvā.</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Noteikumi stājas spēkā 2025. gada 1. janvārī.</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Borders/>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24-TA-2116</w:t>
    </w:r>
    <w:r>
      <w:br/>
    </w:r>
    <w:r w:rsidR="00000000" w:rsidRPr="00000000" w:rsidDel="00000000">
      <w:rPr>
        <w:rtl w:val="0"/>
      </w:rPr>
      <w:t xml:space="preserve">Izdrukāts 01.10.2024. 11.35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24-TA-2116</w:t>
    </w:r>
    <w:r>
      <w:br/>
    </w:r>
    <w:r w:rsidR="00000000" w:rsidRPr="00000000" w:rsidDel="00000000">
      <w:rPr>
        <w:rtl w:val="0"/>
      </w:rPr>
      <w:t xml:space="preserve">Izdrukāts 01.10.2024. 11.35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noteikumu_projekts_24-TA-2116.docx</dc:title>
</cp:coreProperties>
</file>

<file path=docProps/custom.xml><?xml version="1.0" encoding="utf-8"?>
<Properties xmlns="http://schemas.openxmlformats.org/officeDocument/2006/custom-properties" xmlns:vt="http://schemas.openxmlformats.org/officeDocument/2006/docPropsVTypes"/>
</file>